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020"/>
        <w:gridCol w:w="1440"/>
        <w:gridCol w:w="1020"/>
        <w:gridCol w:w="1440"/>
        <w:gridCol w:w="1440"/>
      </w:tblGrid>
      <w:tr>
        <w:trPr>
          <w:trHeight w:val="0"/>
        </w:trPr>
        <w:tc>
          <w:tcPr>
            <w:tcW w:w="1075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Расчет пеней по задолженности, возникшей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Ставка</w:t>
            </w:r>
          </w:p>
        </w:tc>
        <w:tc>
          <w:tcPr>
            <w:tcW w:w="1020" w:type="dxa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Доля ставки</w:t>
            </w:r>
          </w:p>
        </w:tc>
        <w:tc>
          <w:tcPr>
            <w:tcW w:w="3270" w:type="dxa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Пени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дней</w:t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20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270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0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2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0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2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0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2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2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10755" w:type="dxa"/>
            <w:gridSpan w:val="8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Расчет пеней по задолженности, возникшей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Задолженность</w:t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Ставка</w:t>
            </w:r>
          </w:p>
        </w:tc>
        <w:tc>
          <w:tcPr>
            <w:tcW w:w="1020" w:type="dxa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Доля ставки</w:t>
            </w:r>
          </w:p>
        </w:tc>
        <w:tc>
          <w:tcPr>
            <w:tcW w:w="3270" w:type="dxa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Формула</w:t>
            </w:r>
          </w:p>
        </w:tc>
        <w:tc>
          <w:tcPr>
            <w:tcW w:w="0" w:type="auto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Пени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дней</w:t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20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270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0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2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0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2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28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10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2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27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Для расчета задолженности воспользуйтесь специальным </w:t>
      </w:r>
      <w:r>
        <w:rPr>
          <w:rFonts w:hAnsi="Times New Roman" w:cs="Times New Roman"/>
          <w:color w:val="000000"/>
          <w:sz w:val="24"/>
          <w:szCs w:val="24"/>
        </w:rPr>
        <w:t>сервисом &gt;&gt;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59c27edcdb746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