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one" w:color="222222" w:sz="0" w:space="0"/>
          <w:left w:val="none" w:color="222222" w:sz="0" w:space="0"/>
          <w:bottom w:val="single" w:color="cccccc" w:sz="0" w:space="26"/>
          <w:right w:val="none" w:color="222222" w:sz="0" w:space="0"/>
        </w:pBdr>
        <w:spacing w:line="0" w:lineRule="atLeast"/>
        <w:jc w:val="center"/>
        <w:rPr>
          <w:color w:val="222222"/>
          <w:sz w:val="33"/>
          <w:szCs w:val="33"/>
        </w:rPr>
      </w:pPr>
      <w:r>
        <w:rPr>
          <w:color w:val="222222"/>
          <w:sz w:val="33"/>
          <w:szCs w:val="33"/>
        </w:rPr>
        <w:t>ВНИМАНИЕ: ИЗМЕНЯЕТСЯ СПОСОБ РАСЧЕТА ПЛАТЫ ЗА ОТОПЛЕНИЕ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Уважаемые собственники!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Управляющая организация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информирует, что с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меняется способ расчета платы за коммунальную услугу «отопление» в вашем многоквартирном доме. Плата за отопление в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году будет взиматься </w:t>
      </w: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______________________________________________________________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 xml:space="preserve">Решение изменить способ приняло правительство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(постановление правительства Ярославской области №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соответствии с пунктом 42(2) Правил предоставления коммунальных услуг, утвержденных постановлением Правительства РФ от 06.05.2011 № 354, способ оплаты коммунальной услуги по отоплению в течение отопительного периода применяется с начала отопительного периода года, в котором органом государственной власти субъекта РФ принято решение о выборе такого способа, или с начала календарного года, следующего за годом принятия такого решения.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Расчет платы за коммунальную услугу «отопление» по новой схеме будет отражен в платежном документе за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 года.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уважением,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315a11d1c044433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