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Собственнику помещения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доме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адресу: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город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ДОСУДЕБНАЯ ПРЕТЕНЗИЯ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 (далее –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») является управляющей организацией многоквартирного дома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основании решения общего собрания собственников помещений МКД, результаты которого закреплены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между управляющей организацией –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» и собственником помещения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заключен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соответствии с частью 1 статьи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153 ЖК РФ, граждане и организации обязаны своевременно и полностью вносить плату за жилое помещение и коммунальные услуги. Плата за жилое помещение и коммунальные услуги вносится ежемесячно до 10-го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ч. 1 ст. 155 ЖК РФ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данными, указанными в лицевом счете №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 на жилое помещение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квартира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до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включительно, вы внесли следующие оплаты: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состоянию на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по лицевому счету №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сформировалась задолженность по оплате за жилищно-коммунальные услуги в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руб. </w:t>
      </w:r>
      <w:r>
        <w:rPr>
          <w:rFonts w:hAnsi="Times New Roman" w:cs="Times New Roman"/>
          <w:color w:val="000000"/>
          <w:sz w:val="24"/>
          <w:szCs w:val="24"/>
        </w:rPr>
        <w:t xml:space="preserve"> Указанная задолженность сформировалась за период с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результате систематического невнесения Вами платы за жилищно-коммунальные услуги.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Согласно положениям статей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309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314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Гражданского кодекса Российской Федерации, обязательства сторон договорных правоотношений должны исполняться надлежащим образом в соответствии с требованиями законодательства и условиями договора. Обязательство должно исполняться точно в срок, установленный соглашением сторон. Односторонний отказ от исполнения обязательства, а также изменение его условий в одностороннем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досудебного урегулирования спора, мы настоятельно рекомендуем Вам в добровольном порядке в срок до 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года погасить возникшую задолженность в сумме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руб.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коп.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 случае неисполнения Ваших обязательств в установленный срок, мы будем вынуждены обратиться в суд для принудительного взыскания задолженности. После получения судебного приказа, он будет направлен в службу судебных приставов для дальнейшего наложения ареста на ваши банковские счета.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Приложение:</w:t>
      </w:r>
      <w:r>
        <w:rPr>
          <w:rFonts w:hAnsi="Times New Roman" w:cs="Times New Roman"/>
          <w:color w:val="000000"/>
          <w:sz w:val="24"/>
          <w:szCs w:val="24"/>
        </w:rPr>
        <w:t xml:space="preserve"> выписка с лицевого счета №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– на 2 л. в 1 экз.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уважением,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генеральный директор ООО 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/___________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7ff7a2678c546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